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Приказ Министерства образования и науки Российской Федерации (</w:t>
      </w:r>
      <w:proofErr w:type="spellStart"/>
      <w:r w:rsidRPr="00781F89">
        <w:rPr>
          <w:rFonts w:ascii="Times New Roman" w:hAnsi="Times New Roman" w:cs="Times New Roman"/>
          <w:sz w:val="20"/>
        </w:rPr>
        <w:t>Минобрнауки</w:t>
      </w:r>
      <w:proofErr w:type="spellEnd"/>
      <w:r w:rsidRPr="00781F89">
        <w:rPr>
          <w:rFonts w:ascii="Times New Roman" w:hAnsi="Times New Roman" w:cs="Times New Roman"/>
          <w:sz w:val="20"/>
        </w:rPr>
        <w:t xml:space="preserve"> России) от 18 апреля</w:t>
      </w:r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2013 г. N 292 г. Москва</w:t>
      </w:r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"ОБ УТВЕРЖДЕНИИ ПОРЯДКА ОРГАНИЗАЦИИ И ОСУЩЕСТВЛЕНИЯ ОБРАЗОВАТЕЛЬНОЙ ДЕЯТЕЛЬНОСТИ</w:t>
      </w:r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ПО ОСНОВНЫМ ПРОГРАММАМ ПРОФЕССИОНАЛЬНОГО ОБУЧЕНИЯ"</w:t>
      </w:r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Вступает в силу:1 сентября 2013 г.</w:t>
      </w:r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Зарегистрирован в Минюсте РФ 15 мая 2013 г.</w:t>
      </w:r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Регистрационный N 28395</w:t>
      </w:r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В соответствии с частью 11 статьи 13 Федерального закона от 29 декабря 2012 г. N. 273-ФЗ "</w:t>
      </w:r>
      <w:proofErr w:type="gramStart"/>
      <w:r w:rsidRPr="00781F89">
        <w:rPr>
          <w:rFonts w:ascii="Times New Roman" w:hAnsi="Times New Roman" w:cs="Times New Roman"/>
          <w:sz w:val="20"/>
        </w:rPr>
        <w:t>Об</w:t>
      </w:r>
      <w:proofErr w:type="gramEnd"/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proofErr w:type="gramStart"/>
      <w:r w:rsidRPr="00781F89">
        <w:rPr>
          <w:rFonts w:ascii="Times New Roman" w:hAnsi="Times New Roman" w:cs="Times New Roman"/>
          <w:sz w:val="20"/>
        </w:rPr>
        <w:t>образовании в Российской Федерации" (Собрание законодательства Российской Федерации, 2012,</w:t>
      </w:r>
      <w:proofErr w:type="gramEnd"/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proofErr w:type="gramStart"/>
      <w:r w:rsidRPr="00781F89">
        <w:rPr>
          <w:rFonts w:ascii="Times New Roman" w:hAnsi="Times New Roman" w:cs="Times New Roman"/>
          <w:sz w:val="20"/>
        </w:rPr>
        <w:t>N53, ст. 7598) приказываю:</w:t>
      </w:r>
      <w:proofErr w:type="gramEnd"/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1. Утвердить прилагаемый Порядок организации и осуществления образовательной деятельности по основным программам профессионального обучения.</w:t>
      </w:r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2. Настоящий приказ вступает в силу с 1 сентября 2013 года.</w:t>
      </w:r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Министр Д. Ливанов</w:t>
      </w:r>
    </w:p>
    <w:p w:rsidR="00781F89" w:rsidRPr="00781F89" w:rsidRDefault="00781F89" w:rsidP="00781F8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Приложение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Порядок организации и осуществления образовательной деятельности по основным программам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профессионального обучения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1. Порядок организации и осуществления образовательной деятельности по основным программам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профессионального обучения (далее - Порядок) устанавливает правила организации и осуществления образовательной деятельности по основным программам профессионального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обучения.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2. Настоящий Порядок является обязательным для организаций, осуществляющих образовательную деятельность по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 и программам повышения квалификации рабочих, служащих).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3. Профессиональное обучение осуществляется в организациях, осуществляющих образовательную деятельность, а также в форме самообразования. Формы обучения по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proofErr w:type="gramStart"/>
      <w:r w:rsidRPr="00781F89">
        <w:rPr>
          <w:rFonts w:ascii="Times New Roman" w:hAnsi="Times New Roman" w:cs="Times New Roman"/>
          <w:sz w:val="20"/>
          <w:vertAlign w:val="superscript"/>
        </w:rPr>
        <w:t>1</w:t>
      </w:r>
      <w:proofErr w:type="gramEnd"/>
      <w:r w:rsidRPr="00781F89">
        <w:rPr>
          <w:rFonts w:ascii="Times New Roman" w:hAnsi="Times New Roman" w:cs="Times New Roman"/>
          <w:sz w:val="20"/>
        </w:rPr>
        <w:t>. Допускается сочетание различных форм получения образования и форм обучения.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4. Содержание и продолжительность профессионального </w:t>
      </w:r>
      <w:proofErr w:type="gramStart"/>
      <w:r w:rsidRPr="00781F89">
        <w:rPr>
          <w:rFonts w:ascii="Times New Roman" w:hAnsi="Times New Roman" w:cs="Times New Roman"/>
          <w:sz w:val="20"/>
        </w:rPr>
        <w:t>обучения по</w:t>
      </w:r>
      <w:proofErr w:type="gramEnd"/>
      <w:r w:rsidRPr="00781F89">
        <w:rPr>
          <w:rFonts w:ascii="Times New Roman" w:hAnsi="Times New Roman" w:cs="Times New Roman"/>
          <w:sz w:val="20"/>
        </w:rPr>
        <w:t xml:space="preserve"> каждой профессии рабочего,  должности служащего определяются конкретной программой профессионального обучения,  разрабатываемой и утверждаемой организацией, осуществляющей образовательную деятельность,  на основе установленных квалификационных требований (профессиональных стандартов), если иное не установлено законодательством Российской Федерации.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При прохождении профессионального обучения в соответствии с индивидуальным учебным планом его продолжительность может быть изменена организацией, осуществляющей образовательную деятельность, с учетом особенностей и образовательных потребностей конкретного обучающегося.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5. </w:t>
      </w:r>
      <w:proofErr w:type="gramStart"/>
      <w:r w:rsidRPr="00781F89">
        <w:rPr>
          <w:rFonts w:ascii="Times New Roman" w:hAnsi="Times New Roman" w:cs="Times New Roman"/>
          <w:sz w:val="20"/>
        </w:rPr>
        <w:t>Обучение</w:t>
      </w:r>
      <w:proofErr w:type="gramEnd"/>
      <w:r w:rsidRPr="00781F89">
        <w:rPr>
          <w:rFonts w:ascii="Times New Roman" w:hAnsi="Times New Roman" w:cs="Times New Roman"/>
          <w:sz w:val="20"/>
        </w:rPr>
        <w:t xml:space="preserve"> по индивидуальному учебному плану, в том числе ускоренное обучение, в пределах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осваиваемой программы профессионального обучения, осуществляется в порядке, установленном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локальными нормативными актами организации, осуществляющей образовательную деятельность.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6. Лица в возрасте до восемнадцати лет допускаются к освоению основных программ профессионального </w:t>
      </w:r>
      <w:proofErr w:type="gramStart"/>
      <w:r w:rsidRPr="00781F89">
        <w:rPr>
          <w:rFonts w:ascii="Times New Roman" w:hAnsi="Times New Roman" w:cs="Times New Roman"/>
          <w:sz w:val="20"/>
        </w:rPr>
        <w:t>обучения по программам</w:t>
      </w:r>
      <w:proofErr w:type="gramEnd"/>
      <w:r w:rsidRPr="00781F89">
        <w:rPr>
          <w:rFonts w:ascii="Times New Roman" w:hAnsi="Times New Roman" w:cs="Times New Roman"/>
          <w:sz w:val="20"/>
        </w:rPr>
        <w:t xml:space="preserve"> профессиональной подготовки по профессиям рабочих, должностям служащих при условии их обучения по основным общеобразовательным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программам или образовательным программам среднего профессионального образования,  предусматривающим получение среднего общего образования.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7. Профессиональное обучение женщин и лиц в возрасте до восемнадцати лет осуществляется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только по тем профессиям рабочих и должностям служащих, работа по которым не запрещена или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не ограничена для указанных лиц в соответствии с Трудовым кодексом Российской Федерации</w:t>
      </w:r>
      <w:proofErr w:type="gramStart"/>
      <w:r w:rsidRPr="00781F89">
        <w:rPr>
          <w:rFonts w:ascii="Times New Roman" w:hAnsi="Times New Roman" w:cs="Times New Roman"/>
          <w:sz w:val="20"/>
          <w:vertAlign w:val="superscript"/>
        </w:rPr>
        <w:t>2</w:t>
      </w:r>
      <w:proofErr w:type="gramEnd"/>
      <w:r w:rsidRPr="00781F89">
        <w:rPr>
          <w:rFonts w:ascii="Times New Roman" w:hAnsi="Times New Roman" w:cs="Times New Roman"/>
          <w:sz w:val="20"/>
        </w:rPr>
        <w:t>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8. 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9. Образовательная деятельность по основным программам профессионального обучения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организуется в соответствии с расписанием, которое определяется организацией, осуществляющей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образовательную деятельность. 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lastRenderedPageBreak/>
        <w:t>10. Реализация основных программ профессионального обучения сопровождается проведением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 xml:space="preserve">промежуточной аттестации обучающихся. Формы, периодичность и порядок проведения промежуточной аттестации </w:t>
      </w:r>
      <w:proofErr w:type="gramStart"/>
      <w:r w:rsidRPr="00781F89">
        <w:rPr>
          <w:rFonts w:ascii="Times New Roman" w:hAnsi="Times New Roman" w:cs="Times New Roman"/>
          <w:sz w:val="20"/>
        </w:rPr>
        <w:t>обучающихся</w:t>
      </w:r>
      <w:proofErr w:type="gramEnd"/>
      <w:r w:rsidRPr="00781F89">
        <w:rPr>
          <w:rFonts w:ascii="Times New Roman" w:hAnsi="Times New Roman" w:cs="Times New Roman"/>
          <w:sz w:val="20"/>
        </w:rPr>
        <w:t xml:space="preserve"> устанавливается организацией, осуществляющей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образовательную деятельность, самостоятельно.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11. Профессиональное обучение завершается итоговой аттестацией в форме </w:t>
      </w:r>
      <w:proofErr w:type="gramStart"/>
      <w:r w:rsidRPr="00781F89">
        <w:rPr>
          <w:rFonts w:ascii="Times New Roman" w:hAnsi="Times New Roman" w:cs="Times New Roman"/>
          <w:sz w:val="20"/>
        </w:rPr>
        <w:t>квалификационного</w:t>
      </w:r>
      <w:proofErr w:type="gramEnd"/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экзамена</w:t>
      </w:r>
      <w:r w:rsidRPr="00781F89">
        <w:rPr>
          <w:rFonts w:ascii="Times New Roman" w:hAnsi="Times New Roman" w:cs="Times New Roman"/>
          <w:sz w:val="20"/>
          <w:vertAlign w:val="superscript"/>
        </w:rPr>
        <w:t>3</w:t>
      </w:r>
      <w:r w:rsidRPr="00781F89">
        <w:rPr>
          <w:rFonts w:ascii="Times New Roman" w:hAnsi="Times New Roman" w:cs="Times New Roman"/>
          <w:sz w:val="20"/>
        </w:rPr>
        <w:t>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12. Квалификационный экзамен проводится организацией, осуществляющей образовательную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деятельность, для определения соответствия полученных знаний, умений и навыков программе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</w:t>
      </w:r>
      <w:proofErr w:type="gramStart"/>
      <w:r w:rsidRPr="00781F89">
        <w:rPr>
          <w:rFonts w:ascii="Times New Roman" w:hAnsi="Times New Roman" w:cs="Times New Roman"/>
          <w:sz w:val="20"/>
          <w:vertAlign w:val="superscript"/>
        </w:rPr>
        <w:t>4</w:t>
      </w:r>
      <w:proofErr w:type="gramEnd"/>
      <w:r w:rsidRPr="00781F89">
        <w:rPr>
          <w:rFonts w:ascii="Times New Roman" w:hAnsi="Times New Roman" w:cs="Times New Roman"/>
          <w:sz w:val="20"/>
        </w:rPr>
        <w:t xml:space="preserve">.Квалификационный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</w:t>
      </w:r>
      <w:proofErr w:type="gramStart"/>
      <w:r w:rsidRPr="00781F89">
        <w:rPr>
          <w:rFonts w:ascii="Times New Roman" w:hAnsi="Times New Roman" w:cs="Times New Roman"/>
          <w:sz w:val="20"/>
        </w:rPr>
        <w:t>справочниках</w:t>
      </w:r>
      <w:proofErr w:type="gramEnd"/>
      <w:r w:rsidRPr="00781F89">
        <w:rPr>
          <w:rFonts w:ascii="Times New Roman" w:hAnsi="Times New Roman" w:cs="Times New Roman"/>
          <w:sz w:val="20"/>
        </w:rPr>
        <w:t>, и (или) 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</w:t>
      </w:r>
      <w:r w:rsidRPr="00781F89">
        <w:rPr>
          <w:rFonts w:ascii="Times New Roman" w:hAnsi="Times New Roman" w:cs="Times New Roman"/>
          <w:sz w:val="20"/>
          <w:vertAlign w:val="superscript"/>
        </w:rPr>
        <w:t>5</w:t>
      </w:r>
      <w:r w:rsidRPr="00781F89">
        <w:rPr>
          <w:rFonts w:ascii="Times New Roman" w:hAnsi="Times New Roman" w:cs="Times New Roman"/>
          <w:sz w:val="20"/>
        </w:rPr>
        <w:t>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13. Лицам, успешно сдавшим квалификационный экзамен, присваивается разряд или класс, 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категория по результатам профессионального обучения и выдается свидетельство о профессии</w:t>
      </w:r>
      <w:r>
        <w:rPr>
          <w:rFonts w:ascii="Times New Roman" w:hAnsi="Times New Roman" w:cs="Times New Roman"/>
          <w:sz w:val="20"/>
        </w:rPr>
        <w:t xml:space="preserve"> </w:t>
      </w:r>
      <w:r w:rsidRPr="00781F89">
        <w:rPr>
          <w:rFonts w:ascii="Times New Roman" w:hAnsi="Times New Roman" w:cs="Times New Roman"/>
          <w:sz w:val="20"/>
        </w:rPr>
        <w:t>рабочего, должности служащего.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_______________________________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1 Часть 5 статьи 17 Федерального закона от 29 декабря 2012 г. N 273-ФЗ "Об образовании </w:t>
      </w:r>
      <w:proofErr w:type="gramStart"/>
      <w:r w:rsidRPr="00781F89">
        <w:rPr>
          <w:rFonts w:ascii="Times New Roman" w:hAnsi="Times New Roman" w:cs="Times New Roman"/>
          <w:sz w:val="20"/>
        </w:rPr>
        <w:t>в</w:t>
      </w:r>
      <w:proofErr w:type="gramEnd"/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Российской Федерации" (Собрание законодательства Российской Федерации, 2012, N 53, ст. 7598).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2 Собрание законодательства Российской Федерации, 2002, N 1, ст. 3; N 30, ст. 3014, 3033; 2003, N 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27, ст. 2700; 2004, N 18, ст. 1690; N 35, ст. 3607; 2005, N 1, ст. 27; N 19, ст. 1752; 2006, N 27, ст. 2878; N 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52, ст. 5498; 2007, N 1, ст. 34; N 17, ст. 1930; N 30, ст. 3808; N 41, ст. 4844; N 43, ст. 5084; N 49, ст. 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6070; 2008, N 9, ст. 812; N 30, ст. 3613, 3616; N 52, ст. 6235, 6236; 2009, N 1, ст. 17, 21; N 19, ст. 2270; N 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29, ст. 3604; N 30, ст. 3732, 3739; N 46, ст. 5419; N 48, ст. 5717; 2010, N 31, ст. 4196; N 52, ст. 7002; 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2011, N 1, ст. 49; N 25, ст. 3539; N 27, ст. 3880; N 30, ст. 4586, 4590, 4591, 4596; N 45, ст. 6333, 6335; N 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48, ст. 6730, 6735; N 49, ст. 7015, 7031; N 50, ст. 7359; 2012, N 10, ст. 1164; N 14, ст. 1553; N 18, ст. 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2127; N 31, ст. 4325; N 47, ст. 6399; N 50, ст. 6954, ст. 6957, ст. 6959; N 53, ст. 7605.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3 Часть 1 статьи 74 Федерального закона от 29 декабря 2012 г. N 273-ФЗ "Об образовании </w:t>
      </w:r>
      <w:proofErr w:type="gramStart"/>
      <w:r w:rsidRPr="00781F89">
        <w:rPr>
          <w:rFonts w:ascii="Times New Roman" w:hAnsi="Times New Roman" w:cs="Times New Roman"/>
          <w:sz w:val="20"/>
        </w:rPr>
        <w:t>в</w:t>
      </w:r>
      <w:proofErr w:type="gramEnd"/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Российской Федерации" (Собрание законодательства Российской Федерации, 2012, N 53, ст. 7598).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4 Часть 2 статьи 74 Федерального закона от 29 декабря 2012 г. N 273-ФЗ "Об образовании </w:t>
      </w:r>
      <w:proofErr w:type="gramStart"/>
      <w:r w:rsidRPr="00781F89">
        <w:rPr>
          <w:rFonts w:ascii="Times New Roman" w:hAnsi="Times New Roman" w:cs="Times New Roman"/>
          <w:sz w:val="20"/>
        </w:rPr>
        <w:t>в</w:t>
      </w:r>
      <w:proofErr w:type="gramEnd"/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Российской Федерации" (Собрание законодательства Российской Федерации, 2012, N 53, ст. 7598).</w:t>
      </w:r>
    </w:p>
    <w:p w:rsidR="00781F89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 xml:space="preserve">5 Часть 3 статьи 74 Федерального закона от 29 декабря 2012 г. N 273-ФЗ "Об образовании </w:t>
      </w:r>
      <w:proofErr w:type="gramStart"/>
      <w:r w:rsidRPr="00781F89">
        <w:rPr>
          <w:rFonts w:ascii="Times New Roman" w:hAnsi="Times New Roman" w:cs="Times New Roman"/>
          <w:sz w:val="20"/>
        </w:rPr>
        <w:t>в</w:t>
      </w:r>
      <w:proofErr w:type="gramEnd"/>
    </w:p>
    <w:p w:rsidR="00BB722E" w:rsidRPr="00781F89" w:rsidRDefault="00781F89" w:rsidP="00781F89">
      <w:pPr>
        <w:spacing w:after="0"/>
        <w:jc w:val="both"/>
        <w:rPr>
          <w:rFonts w:ascii="Times New Roman" w:hAnsi="Times New Roman" w:cs="Times New Roman"/>
          <w:sz w:val="20"/>
        </w:rPr>
      </w:pPr>
      <w:r w:rsidRPr="00781F89">
        <w:rPr>
          <w:rFonts w:ascii="Times New Roman" w:hAnsi="Times New Roman" w:cs="Times New Roman"/>
          <w:sz w:val="20"/>
        </w:rPr>
        <w:t>Российской Федерации" (Собрание законодательства Российской Федерации, 2012, N 53, ст. 7598)</w:t>
      </w:r>
    </w:p>
    <w:p w:rsidR="00781F89" w:rsidRPr="00781F89" w:rsidRDefault="00781F89">
      <w:pPr>
        <w:spacing w:after="0"/>
        <w:jc w:val="both"/>
        <w:rPr>
          <w:rFonts w:ascii="Times New Roman" w:hAnsi="Times New Roman" w:cs="Times New Roman"/>
          <w:sz w:val="20"/>
        </w:rPr>
      </w:pPr>
    </w:p>
    <w:sectPr w:rsidR="00781F89" w:rsidRPr="00781F89" w:rsidSect="00BB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F89"/>
    <w:rsid w:val="002F3FFB"/>
    <w:rsid w:val="00781F89"/>
    <w:rsid w:val="00BB722E"/>
    <w:rsid w:val="00D87716"/>
    <w:rsid w:val="00DB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2014-08-22T08:49:00Z</dcterms:created>
  <dcterms:modified xsi:type="dcterms:W3CDTF">2014-08-22T08:53:00Z</dcterms:modified>
</cp:coreProperties>
</file>